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11" w:rsidRDefault="007D3F11" w:rsidP="007D3F11">
      <w:r>
        <w:rPr>
          <w:noProof/>
          <w:lang w:eastAsia="sk-SK"/>
        </w:rPr>
        <w:drawing>
          <wp:inline distT="0" distB="0" distL="0" distR="0">
            <wp:extent cx="5752465" cy="723265"/>
            <wp:effectExtent l="19050" t="0" r="635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F11" w:rsidRDefault="007D3F11" w:rsidP="007D3F11">
      <w:pPr>
        <w:jc w:val="center"/>
        <w:rPr>
          <w:rFonts w:ascii="Times New Roman" w:hAnsi="Times New Roman"/>
          <w:sz w:val="24"/>
          <w:szCs w:val="24"/>
        </w:rPr>
      </w:pPr>
    </w:p>
    <w:p w:rsidR="007D3F11" w:rsidRDefault="007D3F11" w:rsidP="007D3F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7D3F11" w:rsidRDefault="007D3F11" w:rsidP="007D3F1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7D3F11" w:rsidTr="007D3F1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11" w:rsidRDefault="007D3F11" w:rsidP="007A6F8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11" w:rsidRDefault="007D3F1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7D3F11" w:rsidTr="007D3F1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11" w:rsidRDefault="007D3F11" w:rsidP="007A6F8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11" w:rsidRDefault="007D3F1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 rovnaký prístup ku kvalitnému vzdelávaniu a zlepšiť výsledky a kompetencie detí a žiakov</w:t>
            </w:r>
          </w:p>
        </w:tc>
      </w:tr>
      <w:tr w:rsidR="007D3F11" w:rsidTr="007D3F1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11" w:rsidRDefault="007D3F11" w:rsidP="007A6F8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11" w:rsidRDefault="007D3F11">
            <w:pPr>
              <w:tabs>
                <w:tab w:val="left" w:pos="4007"/>
              </w:tabs>
              <w:spacing w:after="0" w:line="240" w:lineRule="auto"/>
            </w:pPr>
            <w:r>
              <w:t>ZŠ Škultétyho 1, Nitra</w:t>
            </w:r>
          </w:p>
        </w:tc>
      </w:tr>
      <w:tr w:rsidR="007D3F11" w:rsidTr="007D3F1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11" w:rsidRDefault="007D3F11" w:rsidP="007A6F8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11" w:rsidRDefault="007D3F11">
            <w:pPr>
              <w:tabs>
                <w:tab w:val="left" w:pos="4007"/>
              </w:tabs>
              <w:spacing w:after="0" w:line="240" w:lineRule="auto"/>
            </w:pPr>
            <w:r>
              <w:t>Rozvoj prírodovednej a čitateľskej gramotnosti</w:t>
            </w:r>
          </w:p>
        </w:tc>
      </w:tr>
      <w:tr w:rsidR="007D3F11" w:rsidTr="007D3F1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11" w:rsidRDefault="007D3F11" w:rsidP="007A6F8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11" w:rsidRDefault="007D3F11">
            <w:pPr>
              <w:tabs>
                <w:tab w:val="left" w:pos="4007"/>
              </w:tabs>
              <w:spacing w:after="0" w:line="240" w:lineRule="auto"/>
            </w:pPr>
            <w:r>
              <w:t>312011S818</w:t>
            </w:r>
          </w:p>
        </w:tc>
      </w:tr>
      <w:tr w:rsidR="007D3F11" w:rsidTr="007D3F1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11" w:rsidRDefault="007D3F11" w:rsidP="007A6F8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11" w:rsidRDefault="007D3F11">
            <w:pPr>
              <w:tabs>
                <w:tab w:val="left" w:pos="4007"/>
              </w:tabs>
              <w:spacing w:after="0" w:line="240" w:lineRule="auto"/>
            </w:pPr>
            <w:r>
              <w:t>Čitateľsko-humanitný</w:t>
            </w:r>
          </w:p>
        </w:tc>
      </w:tr>
      <w:tr w:rsidR="007D3F11" w:rsidTr="007D3F1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11" w:rsidRDefault="007D3F11" w:rsidP="007A6F8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11" w:rsidRDefault="007D3F11">
            <w:pPr>
              <w:tabs>
                <w:tab w:val="left" w:pos="4007"/>
              </w:tabs>
              <w:spacing w:after="0" w:line="240" w:lineRule="auto"/>
            </w:pPr>
            <w:r>
              <w:t>11.11.2020</w:t>
            </w:r>
          </w:p>
        </w:tc>
      </w:tr>
      <w:tr w:rsidR="007D3F11" w:rsidTr="007D3F1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11" w:rsidRDefault="007D3F11" w:rsidP="007A6F8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11" w:rsidRDefault="007D3F11">
            <w:pPr>
              <w:tabs>
                <w:tab w:val="left" w:pos="4007"/>
              </w:tabs>
              <w:spacing w:after="0" w:line="240" w:lineRule="auto"/>
            </w:pPr>
            <w:r>
              <w:t xml:space="preserve">zasadačka ZŠ Škultétyho </w:t>
            </w:r>
          </w:p>
        </w:tc>
      </w:tr>
      <w:tr w:rsidR="007D3F11" w:rsidTr="007D3F1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11" w:rsidRDefault="007D3F11" w:rsidP="007A6F8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11" w:rsidRDefault="007D3F11">
            <w:pPr>
              <w:tabs>
                <w:tab w:val="left" w:pos="4007"/>
              </w:tabs>
              <w:spacing w:after="0" w:line="240" w:lineRule="auto"/>
            </w:pPr>
            <w:r>
              <w:t xml:space="preserve">Mgr. Beáta </w:t>
            </w:r>
            <w:proofErr w:type="spellStart"/>
            <w:r>
              <w:t>Konvičková</w:t>
            </w:r>
            <w:proofErr w:type="spellEnd"/>
          </w:p>
        </w:tc>
      </w:tr>
      <w:tr w:rsidR="007D3F11" w:rsidTr="007D3F1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11" w:rsidRDefault="007D3F11" w:rsidP="007A6F8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11" w:rsidRDefault="007D3F11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7D3F11" w:rsidRDefault="007D3F11" w:rsidP="007D3F11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D3F11" w:rsidTr="007D3F11">
        <w:trPr>
          <w:trHeight w:val="64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11" w:rsidRDefault="007D3F11" w:rsidP="007A6F88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klubu sa stretli s cieľom zúčastniť sa online seminára, ktorý im pomôže inšpirovať sa pri prípravách. Takti</w:t>
            </w:r>
            <w:r w:rsidR="006665E0">
              <w:rPr>
                <w:rFonts w:ascii="Times New Roman" w:hAnsi="Times New Roman"/>
              </w:rPr>
              <w:t>ež si navzájom predstavili témy</w:t>
            </w:r>
            <w:r>
              <w:rPr>
                <w:rFonts w:ascii="Times New Roman" w:hAnsi="Times New Roman"/>
              </w:rPr>
              <w:t xml:space="preserve">, ktorým sa chcú venovať. </w:t>
            </w: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D3F11" w:rsidRDefault="007D3F11" w:rsidP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 živly, zem, les, pôda</w:t>
            </w:r>
          </w:p>
        </w:tc>
      </w:tr>
      <w:tr w:rsidR="007D3F11" w:rsidTr="007D3F11">
        <w:trPr>
          <w:trHeight w:val="64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11" w:rsidRDefault="007D3F11" w:rsidP="007A6F88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D3F11" w:rsidRDefault="007D3F11" w:rsidP="007A6F88">
            <w:pPr>
              <w:pStyle w:val="Odsekzoznamu"/>
              <w:numPr>
                <w:ilvl w:val="1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</w:t>
            </w:r>
          </w:p>
          <w:p w:rsidR="007D3F11" w:rsidRDefault="007D3F11" w:rsidP="007A6F88">
            <w:pPr>
              <w:pStyle w:val="Odsekzoznamu"/>
              <w:numPr>
                <w:ilvl w:val="1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Seminár</w:t>
            </w:r>
          </w:p>
          <w:p w:rsidR="007D3F11" w:rsidRDefault="007D3F11" w:rsidP="007A6F88">
            <w:pPr>
              <w:pStyle w:val="Odsekzoznamu"/>
              <w:numPr>
                <w:ilvl w:val="1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 členov klubu</w:t>
            </w: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Bod č.1</w:t>
            </w: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stretnutí PK čitateľská gramotnosť sa zúčastnili všetci jej členovia. Boli oboznámení o programe stretnutia. </w:t>
            </w: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Bod č. 2</w:t>
            </w: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A5D83" w:rsidRDefault="007D3F11" w:rsidP="006665E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klubu sa spoločne zišli</w:t>
            </w:r>
            <w:r w:rsidR="006665E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aby sa zúčastnili odborného seminára, ktorý prebiehal online</w:t>
            </w:r>
            <w:r w:rsidR="001A5D83">
              <w:rPr>
                <w:rFonts w:ascii="Times New Roman" w:hAnsi="Times New Roman"/>
              </w:rPr>
              <w:t>, prostredníc</w:t>
            </w:r>
            <w:r w:rsidR="006665E0">
              <w:rPr>
                <w:rFonts w:ascii="Times New Roman" w:hAnsi="Times New Roman"/>
              </w:rPr>
              <w:t xml:space="preserve">tvom </w:t>
            </w:r>
            <w:proofErr w:type="spellStart"/>
            <w:r w:rsidR="006665E0">
              <w:rPr>
                <w:rFonts w:ascii="Times New Roman" w:hAnsi="Times New Roman"/>
              </w:rPr>
              <w:t>videokonferenčného</w:t>
            </w:r>
            <w:proofErr w:type="spellEnd"/>
            <w:r w:rsidR="006665E0">
              <w:rPr>
                <w:rFonts w:ascii="Times New Roman" w:hAnsi="Times New Roman"/>
              </w:rPr>
              <w:t xml:space="preserve"> systému</w:t>
            </w:r>
            <w:r w:rsidR="001A5D8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Organizátorom bola UKF v</w:t>
            </w:r>
            <w:r w:rsidR="001A5D8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Nitre</w:t>
            </w:r>
            <w:r w:rsidR="001A5D83">
              <w:rPr>
                <w:rFonts w:ascii="Times New Roman" w:hAnsi="Times New Roman"/>
              </w:rPr>
              <w:t xml:space="preserve"> v spolupráci s Národným lesníckym centrom, </w:t>
            </w:r>
            <w:r>
              <w:rPr>
                <w:rFonts w:ascii="Times New Roman" w:hAnsi="Times New Roman"/>
              </w:rPr>
              <w:t xml:space="preserve"> ako súčasť Týždňa vedy a</w:t>
            </w:r>
            <w:r w:rsidR="0061263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techniky</w:t>
            </w:r>
            <w:r w:rsidR="0061263D">
              <w:rPr>
                <w:rFonts w:ascii="Times New Roman" w:hAnsi="Times New Roman"/>
              </w:rPr>
              <w:t>. Názov tohto seminára bol Učenie o lese cez programy lesnej pedagogiky. Seminár bol určený najmä pre učiteľov primárneho stupňa vzdelávania</w:t>
            </w:r>
            <w:r w:rsidR="00983F90">
              <w:rPr>
                <w:rFonts w:ascii="Times New Roman" w:hAnsi="Times New Roman"/>
              </w:rPr>
              <w:t>, nakoľko</w:t>
            </w:r>
            <w:r w:rsidR="007C697D">
              <w:rPr>
                <w:rFonts w:ascii="Times New Roman" w:hAnsi="Times New Roman"/>
              </w:rPr>
              <w:t xml:space="preserve"> práve oni vedia začleniť tieto témy do svojho učenia. Z</w:t>
            </w:r>
            <w:r w:rsidR="0061263D">
              <w:rPr>
                <w:rFonts w:ascii="Times New Roman" w:hAnsi="Times New Roman"/>
              </w:rPr>
              <w:t>aujímavý bol</w:t>
            </w:r>
            <w:r w:rsidR="007C697D">
              <w:rPr>
                <w:rFonts w:ascii="Times New Roman" w:hAnsi="Times New Roman"/>
              </w:rPr>
              <w:t xml:space="preserve"> však pre všetkých zúčastnených, nakoľko environmentálne a interakcia človeka s prírodou je dôležitou súčasťou krúžkov. </w:t>
            </w:r>
          </w:p>
          <w:p w:rsidR="007D3F11" w:rsidRDefault="001A5D83" w:rsidP="006665E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Programy lesnej pedagogiky sú jedným s prístupov k týmto témam. Seminár oboznamoval  o didaktických postupoch lesnej pedagogiky v podmienkach vyučovania na základnej škole. </w:t>
            </w:r>
            <w:r w:rsidR="0061263D">
              <w:rPr>
                <w:rFonts w:ascii="Times New Roman" w:hAnsi="Times New Roman"/>
              </w:rPr>
              <w:t xml:space="preserve"> </w:t>
            </w: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Bod č. 3</w:t>
            </w: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D3F11" w:rsidRDefault="0061263D" w:rsidP="006665E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klubu po ukončení seminára diskutovali</w:t>
            </w:r>
            <w:r w:rsidR="00983F90">
              <w:rPr>
                <w:rFonts w:ascii="Times New Roman" w:hAnsi="Times New Roman"/>
              </w:rPr>
              <w:t xml:space="preserve"> o tom</w:t>
            </w:r>
            <w:r>
              <w:rPr>
                <w:rFonts w:ascii="Times New Roman" w:hAnsi="Times New Roman"/>
              </w:rPr>
              <w:t xml:space="preserve">, ako by mohli zužitkovať vypočuté poznatky aj vo svojich prípravách na krúžok. </w:t>
            </w:r>
            <w:r w:rsidR="00983F90">
              <w:rPr>
                <w:rFonts w:ascii="Times New Roman" w:hAnsi="Times New Roman"/>
              </w:rPr>
              <w:t xml:space="preserve">Porozprávali sa o možnostiach </w:t>
            </w:r>
            <w:r w:rsidR="007C697D">
              <w:rPr>
                <w:rFonts w:ascii="Times New Roman" w:hAnsi="Times New Roman"/>
              </w:rPr>
              <w:t xml:space="preserve">zakomponovať do príprav prírodné motívy - texty/príbehy o lese, prírode a práca s nimi. </w:t>
            </w: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3F11" w:rsidTr="007D3F11">
        <w:trPr>
          <w:trHeight w:val="64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11" w:rsidRDefault="007D3F11" w:rsidP="007A6F88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D3F11" w:rsidRDefault="007D3F11" w:rsidP="006665E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PK čitateľská gramotnosť </w:t>
            </w:r>
            <w:r w:rsidR="007C697D">
              <w:rPr>
                <w:rFonts w:ascii="Times New Roman" w:hAnsi="Times New Roman"/>
              </w:rPr>
              <w:t>sa navzájom dohodli na začlenení textov o prírode do svojich príprav a tiež sa zhodli na tom, že je prínosné zúčastňovať sa seminárov/</w:t>
            </w:r>
            <w:proofErr w:type="spellStart"/>
            <w:r w:rsidR="007C697D">
              <w:rPr>
                <w:rFonts w:ascii="Times New Roman" w:hAnsi="Times New Roman"/>
              </w:rPr>
              <w:t>webinárov</w:t>
            </w:r>
            <w:proofErr w:type="spellEnd"/>
            <w:r w:rsidR="007C697D">
              <w:rPr>
                <w:rFonts w:ascii="Times New Roman" w:hAnsi="Times New Roman"/>
              </w:rPr>
              <w:t xml:space="preserve"> a čerpať nové nápady aj touto formou.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D3F11" w:rsidRDefault="007D3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Vedúca PK sa poďakovala členom a ukončila stretnutie.</w:t>
            </w:r>
          </w:p>
        </w:tc>
      </w:tr>
    </w:tbl>
    <w:p w:rsidR="007D3F11" w:rsidRDefault="007D3F11" w:rsidP="007D3F11">
      <w:pPr>
        <w:tabs>
          <w:tab w:val="left" w:pos="1114"/>
        </w:tabs>
      </w:pPr>
      <w:r>
        <w:tab/>
      </w:r>
    </w:p>
    <w:p w:rsidR="007D3F11" w:rsidRDefault="007D3F11" w:rsidP="007D3F11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7D3F11" w:rsidTr="007D3F1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11" w:rsidRDefault="007D3F11" w:rsidP="007A6F88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11" w:rsidRDefault="007D3F11">
            <w:pPr>
              <w:tabs>
                <w:tab w:val="left" w:pos="1114"/>
              </w:tabs>
              <w:spacing w:after="0" w:line="240" w:lineRule="auto"/>
            </w:pPr>
            <w:r>
              <w:t xml:space="preserve">Mgr. Beáta </w:t>
            </w:r>
            <w:proofErr w:type="spellStart"/>
            <w:r>
              <w:t>Konvičková</w:t>
            </w:r>
            <w:proofErr w:type="spellEnd"/>
          </w:p>
        </w:tc>
      </w:tr>
      <w:tr w:rsidR="007D3F11" w:rsidTr="007D3F1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11" w:rsidRDefault="007D3F11" w:rsidP="007A6F88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11" w:rsidRDefault="007C697D">
            <w:pPr>
              <w:tabs>
                <w:tab w:val="left" w:pos="1114"/>
              </w:tabs>
              <w:spacing w:after="0" w:line="240" w:lineRule="auto"/>
            </w:pPr>
            <w:r>
              <w:t>12.11</w:t>
            </w:r>
            <w:r w:rsidR="007D3F11">
              <w:t>.2020</w:t>
            </w:r>
          </w:p>
        </w:tc>
      </w:tr>
      <w:tr w:rsidR="007D3F11" w:rsidTr="007D3F1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11" w:rsidRDefault="007D3F11" w:rsidP="007A6F88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11" w:rsidRDefault="007D3F11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D3F11" w:rsidTr="007D3F1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11" w:rsidRDefault="007D3F11" w:rsidP="007A6F88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11" w:rsidRDefault="006665E0">
            <w:pPr>
              <w:tabs>
                <w:tab w:val="left" w:pos="1114"/>
              </w:tabs>
              <w:spacing w:after="0" w:line="240" w:lineRule="auto"/>
            </w:pPr>
            <w:r>
              <w:t xml:space="preserve">PaedDr. Jana </w:t>
            </w:r>
            <w:proofErr w:type="spellStart"/>
            <w:r>
              <w:t>Meňhartová</w:t>
            </w:r>
            <w:proofErr w:type="spellEnd"/>
          </w:p>
        </w:tc>
      </w:tr>
      <w:tr w:rsidR="007D3F11" w:rsidTr="007D3F1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11" w:rsidRDefault="007D3F11" w:rsidP="007A6F88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11" w:rsidRDefault="006665E0">
            <w:pPr>
              <w:tabs>
                <w:tab w:val="left" w:pos="1114"/>
              </w:tabs>
              <w:spacing w:after="0" w:line="240" w:lineRule="auto"/>
            </w:pPr>
            <w:r>
              <w:t>12. 11. 2020</w:t>
            </w:r>
          </w:p>
        </w:tc>
      </w:tr>
      <w:tr w:rsidR="007D3F11" w:rsidTr="007D3F1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11" w:rsidRDefault="007D3F11" w:rsidP="007A6F88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11" w:rsidRDefault="007D3F11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7D3F11" w:rsidRDefault="007D3F11" w:rsidP="007D3F11">
      <w:pPr>
        <w:tabs>
          <w:tab w:val="left" w:pos="1114"/>
        </w:tabs>
      </w:pPr>
    </w:p>
    <w:p w:rsidR="006665E0" w:rsidRDefault="006665E0" w:rsidP="007D3F11">
      <w:pPr>
        <w:tabs>
          <w:tab w:val="left" w:pos="1114"/>
        </w:tabs>
      </w:pPr>
      <w:bookmarkStart w:id="0" w:name="_GoBack"/>
      <w:bookmarkEnd w:id="0"/>
    </w:p>
    <w:p w:rsidR="006665E0" w:rsidRDefault="006665E0" w:rsidP="007D3F11">
      <w:pPr>
        <w:tabs>
          <w:tab w:val="left" w:pos="1114"/>
        </w:tabs>
      </w:pPr>
    </w:p>
    <w:p w:rsidR="006665E0" w:rsidRDefault="006665E0" w:rsidP="007D3F11">
      <w:pPr>
        <w:tabs>
          <w:tab w:val="left" w:pos="1114"/>
        </w:tabs>
      </w:pPr>
    </w:p>
    <w:p w:rsidR="006665E0" w:rsidRDefault="006665E0" w:rsidP="007D3F11">
      <w:pPr>
        <w:tabs>
          <w:tab w:val="left" w:pos="1114"/>
        </w:tabs>
      </w:pPr>
    </w:p>
    <w:p w:rsidR="006665E0" w:rsidRDefault="006665E0" w:rsidP="007D3F11">
      <w:pPr>
        <w:tabs>
          <w:tab w:val="left" w:pos="1114"/>
        </w:tabs>
      </w:pPr>
    </w:p>
    <w:p w:rsidR="006665E0" w:rsidRDefault="006665E0" w:rsidP="007D3F11">
      <w:pPr>
        <w:tabs>
          <w:tab w:val="left" w:pos="1114"/>
        </w:tabs>
      </w:pPr>
    </w:p>
    <w:p w:rsidR="006665E0" w:rsidRPr="001544C0" w:rsidRDefault="006665E0" w:rsidP="006665E0">
      <w:r>
        <w:lastRenderedPageBreak/>
        <w:t xml:space="preserve">                                                                                              </w:t>
      </w:r>
      <w:r w:rsidRPr="00A75ED3">
        <w:rPr>
          <w:noProof/>
          <w:lang w:eastAsia="sk-SK"/>
        </w:rPr>
        <w:drawing>
          <wp:inline distT="0" distB="0" distL="0" distR="0" wp14:anchorId="7EC66C6B" wp14:editId="1D3A3C89">
            <wp:extent cx="5753100" cy="80962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6665E0" w:rsidTr="00917C88">
        <w:tc>
          <w:tcPr>
            <w:tcW w:w="3528" w:type="dxa"/>
          </w:tcPr>
          <w:p w:rsidR="006665E0" w:rsidRDefault="006665E0" w:rsidP="00917C88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6665E0" w:rsidRDefault="006665E0" w:rsidP="00917C88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6665E0" w:rsidTr="00917C88">
        <w:tc>
          <w:tcPr>
            <w:tcW w:w="3528" w:type="dxa"/>
          </w:tcPr>
          <w:p w:rsidR="006665E0" w:rsidRDefault="006665E0" w:rsidP="00917C88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6665E0" w:rsidRDefault="006665E0" w:rsidP="00917C88">
            <w:pPr>
              <w:rPr>
                <w:color w:val="FF0000"/>
                <w:spacing w:val="20"/>
                <w:sz w:val="20"/>
                <w:szCs w:val="20"/>
              </w:rPr>
            </w:pPr>
            <w:r>
              <w:t xml:space="preserve">1.2.1 Zvýšiť </w:t>
            </w:r>
            <w:proofErr w:type="spellStart"/>
            <w:r>
              <w:t>inkluzívnosť</w:t>
            </w:r>
            <w:proofErr w:type="spellEnd"/>
            <w:r>
              <w:t xml:space="preserve"> a rovnaký prístup ku kvalitnému vzdelávaniu a zlepšiť výsledky a kompetencie detí a žiakov</w:t>
            </w:r>
          </w:p>
        </w:tc>
      </w:tr>
      <w:tr w:rsidR="006665E0" w:rsidTr="00917C88">
        <w:tc>
          <w:tcPr>
            <w:tcW w:w="3528" w:type="dxa"/>
          </w:tcPr>
          <w:p w:rsidR="006665E0" w:rsidRDefault="006665E0" w:rsidP="00917C88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6665E0" w:rsidRDefault="006665E0" w:rsidP="00917C88">
            <w:pPr>
              <w:rPr>
                <w:spacing w:val="20"/>
                <w:sz w:val="20"/>
                <w:szCs w:val="20"/>
              </w:rPr>
            </w:pPr>
            <w:r>
              <w:t>ZŠ Škultétyho 1, Nitra</w:t>
            </w:r>
          </w:p>
        </w:tc>
      </w:tr>
      <w:tr w:rsidR="006665E0" w:rsidTr="00917C88">
        <w:tc>
          <w:tcPr>
            <w:tcW w:w="3528" w:type="dxa"/>
          </w:tcPr>
          <w:p w:rsidR="006665E0" w:rsidRDefault="006665E0" w:rsidP="00917C88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6665E0" w:rsidRPr="00E66FFE" w:rsidRDefault="006665E0" w:rsidP="00917C88">
            <w:pPr>
              <w:tabs>
                <w:tab w:val="left" w:pos="4007"/>
              </w:tabs>
            </w:pPr>
            <w:r>
              <w:t>Rozvoj prírodovednej a čitateľskej gramotnosti</w:t>
            </w:r>
          </w:p>
        </w:tc>
      </w:tr>
      <w:tr w:rsidR="006665E0" w:rsidTr="00917C88">
        <w:tc>
          <w:tcPr>
            <w:tcW w:w="3528" w:type="dxa"/>
          </w:tcPr>
          <w:p w:rsidR="006665E0" w:rsidRDefault="006665E0" w:rsidP="00917C88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6665E0" w:rsidRDefault="006665E0" w:rsidP="00917C88">
            <w:pPr>
              <w:rPr>
                <w:spacing w:val="20"/>
                <w:sz w:val="20"/>
                <w:szCs w:val="20"/>
              </w:rPr>
            </w:pPr>
            <w:r>
              <w:t>312011S818</w:t>
            </w:r>
          </w:p>
        </w:tc>
      </w:tr>
      <w:tr w:rsidR="006665E0" w:rsidTr="00917C88">
        <w:tc>
          <w:tcPr>
            <w:tcW w:w="3528" w:type="dxa"/>
          </w:tcPr>
          <w:p w:rsidR="006665E0" w:rsidRDefault="006665E0" w:rsidP="00917C88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 xml:space="preserve">Pedagogický klub </w:t>
            </w:r>
          </w:p>
        </w:tc>
        <w:tc>
          <w:tcPr>
            <w:tcW w:w="5940" w:type="dxa"/>
          </w:tcPr>
          <w:p w:rsidR="006665E0" w:rsidRDefault="006665E0" w:rsidP="00917C88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Čitateľsko-humanitný, stretnutie č. 12</w:t>
            </w:r>
          </w:p>
        </w:tc>
      </w:tr>
    </w:tbl>
    <w:p w:rsidR="006665E0" w:rsidRDefault="006665E0" w:rsidP="006665E0"/>
    <w:p w:rsidR="006665E0" w:rsidRPr="001B69AF" w:rsidRDefault="006665E0" w:rsidP="006665E0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6665E0" w:rsidRDefault="006665E0" w:rsidP="006665E0"/>
    <w:p w:rsidR="006665E0" w:rsidRDefault="006665E0" w:rsidP="006665E0">
      <w:r>
        <w:t>Miesto konania pedagogického klubu: zasadačka ZŠ Škultétyho 1, Nitra</w:t>
      </w:r>
    </w:p>
    <w:p w:rsidR="006665E0" w:rsidRDefault="006665E0" w:rsidP="006665E0">
      <w:r>
        <w:t>Dátum konania pedagogického klubu: 11. 11. 2020</w:t>
      </w:r>
    </w:p>
    <w:p w:rsidR="006665E0" w:rsidRDefault="006665E0" w:rsidP="006665E0">
      <w:r>
        <w:t>Trvanie pedagogického klubu: od 13,00 hod</w:t>
      </w:r>
      <w:r>
        <w:tab/>
        <w:t>do 16,00hod</w:t>
      </w:r>
      <w:r>
        <w:tab/>
      </w:r>
    </w:p>
    <w:p w:rsidR="006665E0" w:rsidRDefault="006665E0" w:rsidP="006665E0"/>
    <w:p w:rsidR="006665E0" w:rsidRDefault="006665E0" w:rsidP="006665E0">
      <w:r>
        <w:t>Zoznam účastníkov pedagogického klubu: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6665E0" w:rsidRPr="00733AC2" w:rsidTr="00917C88">
        <w:trPr>
          <w:trHeight w:val="337"/>
        </w:trPr>
        <w:tc>
          <w:tcPr>
            <w:tcW w:w="610" w:type="dxa"/>
          </w:tcPr>
          <w:p w:rsidR="006665E0" w:rsidRPr="00733AC2" w:rsidRDefault="006665E0" w:rsidP="00917C88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:rsidR="006665E0" w:rsidRPr="00733AC2" w:rsidRDefault="006665E0" w:rsidP="00917C88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4140" w:type="dxa"/>
          </w:tcPr>
          <w:p w:rsidR="006665E0" w:rsidRPr="00733AC2" w:rsidRDefault="006665E0" w:rsidP="00917C88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Podpis</w:t>
            </w:r>
          </w:p>
        </w:tc>
      </w:tr>
      <w:tr w:rsidR="006665E0" w:rsidRPr="00733AC2" w:rsidTr="00917C88">
        <w:trPr>
          <w:trHeight w:val="337"/>
        </w:trPr>
        <w:tc>
          <w:tcPr>
            <w:tcW w:w="610" w:type="dxa"/>
          </w:tcPr>
          <w:p w:rsidR="006665E0" w:rsidRPr="00733AC2" w:rsidRDefault="006665E0" w:rsidP="00917C88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1.</w:t>
            </w:r>
          </w:p>
        </w:tc>
        <w:tc>
          <w:tcPr>
            <w:tcW w:w="4680" w:type="dxa"/>
          </w:tcPr>
          <w:p w:rsidR="006665E0" w:rsidRPr="00733AC2" w:rsidRDefault="006665E0" w:rsidP="00917C88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 xml:space="preserve">PaedDr. Renáta </w:t>
            </w:r>
            <w:proofErr w:type="spellStart"/>
            <w:r w:rsidRPr="00733AC2">
              <w:rPr>
                <w:rFonts w:ascii="Times New Roman" w:hAnsi="Times New Roman"/>
              </w:rPr>
              <w:t>Titková</w:t>
            </w:r>
            <w:proofErr w:type="spellEnd"/>
          </w:p>
        </w:tc>
        <w:tc>
          <w:tcPr>
            <w:tcW w:w="4140" w:type="dxa"/>
          </w:tcPr>
          <w:p w:rsidR="006665E0" w:rsidRPr="00733AC2" w:rsidRDefault="006665E0" w:rsidP="00917C8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665E0" w:rsidRPr="00733AC2" w:rsidTr="00917C88">
        <w:trPr>
          <w:trHeight w:val="337"/>
        </w:trPr>
        <w:tc>
          <w:tcPr>
            <w:tcW w:w="610" w:type="dxa"/>
          </w:tcPr>
          <w:p w:rsidR="006665E0" w:rsidRPr="00733AC2" w:rsidRDefault="006665E0" w:rsidP="00917C88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2.</w:t>
            </w:r>
          </w:p>
        </w:tc>
        <w:tc>
          <w:tcPr>
            <w:tcW w:w="4680" w:type="dxa"/>
          </w:tcPr>
          <w:p w:rsidR="006665E0" w:rsidRPr="00733AC2" w:rsidRDefault="006665E0" w:rsidP="00917C88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 xml:space="preserve">Mgr. Adriána </w:t>
            </w:r>
            <w:proofErr w:type="spellStart"/>
            <w:r w:rsidRPr="00733AC2">
              <w:rPr>
                <w:rFonts w:ascii="Times New Roman" w:hAnsi="Times New Roman"/>
              </w:rPr>
              <w:t>Záhorec</w:t>
            </w:r>
            <w:proofErr w:type="spellEnd"/>
            <w:r w:rsidRPr="00733AC2">
              <w:rPr>
                <w:rFonts w:ascii="Times New Roman" w:hAnsi="Times New Roman"/>
              </w:rPr>
              <w:t xml:space="preserve"> </w:t>
            </w:r>
            <w:proofErr w:type="spellStart"/>
            <w:r w:rsidRPr="00733AC2">
              <w:rPr>
                <w:rFonts w:ascii="Times New Roman" w:hAnsi="Times New Roman"/>
              </w:rPr>
              <w:t>Brotková</w:t>
            </w:r>
            <w:proofErr w:type="spellEnd"/>
          </w:p>
        </w:tc>
        <w:tc>
          <w:tcPr>
            <w:tcW w:w="4140" w:type="dxa"/>
          </w:tcPr>
          <w:p w:rsidR="006665E0" w:rsidRPr="00733AC2" w:rsidRDefault="006665E0" w:rsidP="00917C8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665E0" w:rsidRPr="00733AC2" w:rsidTr="00917C88">
        <w:trPr>
          <w:trHeight w:val="337"/>
        </w:trPr>
        <w:tc>
          <w:tcPr>
            <w:tcW w:w="610" w:type="dxa"/>
          </w:tcPr>
          <w:p w:rsidR="006665E0" w:rsidRPr="00733AC2" w:rsidRDefault="006665E0" w:rsidP="00917C88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3.</w:t>
            </w:r>
          </w:p>
        </w:tc>
        <w:tc>
          <w:tcPr>
            <w:tcW w:w="4680" w:type="dxa"/>
          </w:tcPr>
          <w:p w:rsidR="006665E0" w:rsidRPr="00733AC2" w:rsidRDefault="006665E0" w:rsidP="00917C88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 xml:space="preserve">PaedDr. Zuzana </w:t>
            </w:r>
            <w:proofErr w:type="spellStart"/>
            <w:r w:rsidRPr="00733AC2">
              <w:rPr>
                <w:rFonts w:ascii="Times New Roman" w:hAnsi="Times New Roman"/>
              </w:rPr>
              <w:t>Srnková</w:t>
            </w:r>
            <w:proofErr w:type="spellEnd"/>
          </w:p>
        </w:tc>
        <w:tc>
          <w:tcPr>
            <w:tcW w:w="4140" w:type="dxa"/>
          </w:tcPr>
          <w:p w:rsidR="006665E0" w:rsidRPr="00733AC2" w:rsidRDefault="006665E0" w:rsidP="00917C8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665E0" w:rsidRPr="00733AC2" w:rsidTr="00917C88">
        <w:trPr>
          <w:trHeight w:val="337"/>
        </w:trPr>
        <w:tc>
          <w:tcPr>
            <w:tcW w:w="610" w:type="dxa"/>
          </w:tcPr>
          <w:p w:rsidR="006665E0" w:rsidRPr="00733AC2" w:rsidRDefault="006665E0" w:rsidP="00917C88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4.</w:t>
            </w:r>
          </w:p>
        </w:tc>
        <w:tc>
          <w:tcPr>
            <w:tcW w:w="4680" w:type="dxa"/>
          </w:tcPr>
          <w:p w:rsidR="006665E0" w:rsidRPr="00733AC2" w:rsidRDefault="006665E0" w:rsidP="00917C88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 xml:space="preserve">Mgr. </w:t>
            </w:r>
            <w:r>
              <w:rPr>
                <w:rFonts w:ascii="Times New Roman" w:hAnsi="Times New Roman"/>
              </w:rPr>
              <w:t>Martin Kollárik</w:t>
            </w:r>
          </w:p>
        </w:tc>
        <w:tc>
          <w:tcPr>
            <w:tcW w:w="4140" w:type="dxa"/>
          </w:tcPr>
          <w:p w:rsidR="006665E0" w:rsidRPr="00733AC2" w:rsidRDefault="006665E0" w:rsidP="00917C8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665E0" w:rsidRPr="00733AC2" w:rsidTr="00917C88">
        <w:trPr>
          <w:trHeight w:val="355"/>
        </w:trPr>
        <w:tc>
          <w:tcPr>
            <w:tcW w:w="610" w:type="dxa"/>
          </w:tcPr>
          <w:p w:rsidR="006665E0" w:rsidRPr="00733AC2" w:rsidRDefault="006665E0" w:rsidP="00917C88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5.</w:t>
            </w:r>
          </w:p>
        </w:tc>
        <w:tc>
          <w:tcPr>
            <w:tcW w:w="4680" w:type="dxa"/>
          </w:tcPr>
          <w:p w:rsidR="006665E0" w:rsidRPr="00733AC2" w:rsidRDefault="006665E0" w:rsidP="00917C88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 xml:space="preserve">Mgr. Jana </w:t>
            </w:r>
            <w:proofErr w:type="spellStart"/>
            <w:r w:rsidRPr="00733AC2">
              <w:rPr>
                <w:rFonts w:ascii="Times New Roman" w:hAnsi="Times New Roman"/>
              </w:rPr>
              <w:t>Peniašková</w:t>
            </w:r>
            <w:proofErr w:type="spellEnd"/>
          </w:p>
        </w:tc>
        <w:tc>
          <w:tcPr>
            <w:tcW w:w="4140" w:type="dxa"/>
          </w:tcPr>
          <w:p w:rsidR="006665E0" w:rsidRPr="00733AC2" w:rsidRDefault="006665E0" w:rsidP="00917C8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665E0" w:rsidRPr="00733AC2" w:rsidTr="00917C88">
        <w:trPr>
          <w:trHeight w:val="355"/>
        </w:trPr>
        <w:tc>
          <w:tcPr>
            <w:tcW w:w="610" w:type="dxa"/>
          </w:tcPr>
          <w:p w:rsidR="006665E0" w:rsidRPr="00733AC2" w:rsidRDefault="006665E0" w:rsidP="00917C88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6.</w:t>
            </w:r>
          </w:p>
        </w:tc>
        <w:tc>
          <w:tcPr>
            <w:tcW w:w="4680" w:type="dxa"/>
          </w:tcPr>
          <w:p w:rsidR="006665E0" w:rsidRPr="00733AC2" w:rsidRDefault="006665E0" w:rsidP="00917C88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 xml:space="preserve">Mgr. Eva </w:t>
            </w:r>
            <w:proofErr w:type="spellStart"/>
            <w:r w:rsidRPr="00733AC2">
              <w:rPr>
                <w:rFonts w:ascii="Times New Roman" w:hAnsi="Times New Roman"/>
              </w:rPr>
              <w:t>Preložníková</w:t>
            </w:r>
            <w:proofErr w:type="spellEnd"/>
          </w:p>
        </w:tc>
        <w:tc>
          <w:tcPr>
            <w:tcW w:w="4140" w:type="dxa"/>
          </w:tcPr>
          <w:p w:rsidR="006665E0" w:rsidRPr="00733AC2" w:rsidRDefault="006665E0" w:rsidP="00917C8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665E0" w:rsidRPr="00733AC2" w:rsidTr="00917C88">
        <w:trPr>
          <w:trHeight w:val="355"/>
        </w:trPr>
        <w:tc>
          <w:tcPr>
            <w:tcW w:w="610" w:type="dxa"/>
          </w:tcPr>
          <w:p w:rsidR="006665E0" w:rsidRPr="00733AC2" w:rsidRDefault="006665E0" w:rsidP="00917C88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7.</w:t>
            </w:r>
          </w:p>
        </w:tc>
        <w:tc>
          <w:tcPr>
            <w:tcW w:w="4680" w:type="dxa"/>
          </w:tcPr>
          <w:p w:rsidR="006665E0" w:rsidRPr="00733AC2" w:rsidRDefault="006665E0" w:rsidP="00917C88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 xml:space="preserve">Mgr. Beáta </w:t>
            </w:r>
            <w:proofErr w:type="spellStart"/>
            <w:r w:rsidRPr="00733AC2">
              <w:rPr>
                <w:rFonts w:ascii="Times New Roman" w:hAnsi="Times New Roman"/>
              </w:rPr>
              <w:t>Konvičková</w:t>
            </w:r>
            <w:proofErr w:type="spellEnd"/>
          </w:p>
        </w:tc>
        <w:tc>
          <w:tcPr>
            <w:tcW w:w="4140" w:type="dxa"/>
          </w:tcPr>
          <w:p w:rsidR="006665E0" w:rsidRPr="00733AC2" w:rsidRDefault="006665E0" w:rsidP="00917C88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6665E0" w:rsidRDefault="006665E0" w:rsidP="007D3F11">
      <w:pPr>
        <w:tabs>
          <w:tab w:val="left" w:pos="1114"/>
        </w:tabs>
      </w:pPr>
    </w:p>
    <w:sectPr w:rsidR="006665E0" w:rsidSect="00CA1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11"/>
    <w:rsid w:val="001A5D83"/>
    <w:rsid w:val="0061263D"/>
    <w:rsid w:val="006665E0"/>
    <w:rsid w:val="007C697D"/>
    <w:rsid w:val="007D3F11"/>
    <w:rsid w:val="00983F90"/>
    <w:rsid w:val="00B24940"/>
    <w:rsid w:val="00CA1816"/>
    <w:rsid w:val="00F5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2951"/>
  <w15:docId w15:val="{4BBADACA-A3E8-483C-83B2-575269F9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3F11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7D3F11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7D3F11"/>
    <w:rPr>
      <w:rFonts w:ascii="Arial" w:eastAsia="Times New Roman" w:hAnsi="Arial" w:cs="Arial"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7D3F1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3F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Windows User</cp:lastModifiedBy>
  <cp:revision>2</cp:revision>
  <cp:lastPrinted>2020-11-23T10:33:00Z</cp:lastPrinted>
  <dcterms:created xsi:type="dcterms:W3CDTF">2020-11-23T10:33:00Z</dcterms:created>
  <dcterms:modified xsi:type="dcterms:W3CDTF">2020-11-23T10:33:00Z</dcterms:modified>
</cp:coreProperties>
</file>