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C9A" w:rsidRDefault="00011C75">
      <w:bookmarkStart w:id="0" w:name="_GoBack"/>
      <w:bookmarkEnd w:id="0"/>
      <w:r>
        <w:t>Fundusze Inwestycyjne</w:t>
      </w:r>
      <w:r w:rsidR="00D23314">
        <w:t xml:space="preserve"> – </w:t>
      </w:r>
      <w:proofErr w:type="spellStart"/>
      <w:r w:rsidR="00D23314">
        <w:t>Evelina</w:t>
      </w:r>
      <w:proofErr w:type="spellEnd"/>
      <w:r w:rsidR="00D23314">
        <w:t xml:space="preserve"> </w:t>
      </w:r>
      <w:proofErr w:type="spellStart"/>
      <w:r w:rsidR="00D23314">
        <w:t>Avetisyan</w:t>
      </w:r>
      <w:proofErr w:type="spellEnd"/>
      <w:r w:rsidR="00D23314">
        <w:t>, Aleksandra Dziak, Maria Marcinek klasa 2a4</w:t>
      </w:r>
    </w:p>
    <w:p w:rsidR="00011C75" w:rsidRDefault="00011C75">
      <w:r>
        <w:t>Wybrane fundusze inwestycyjne:</w:t>
      </w:r>
    </w:p>
    <w:p w:rsidR="00011C75" w:rsidRPr="00D23314" w:rsidRDefault="00011C75" w:rsidP="00011C75">
      <w:pPr>
        <w:pStyle w:val="Akapitzlist"/>
        <w:numPr>
          <w:ilvl w:val="0"/>
          <w:numId w:val="1"/>
        </w:numPr>
        <w:rPr>
          <w:b/>
        </w:rPr>
      </w:pPr>
      <w:r w:rsidRPr="00D23314">
        <w:rPr>
          <w:b/>
        </w:rPr>
        <w:t>Allianz Akcji Małych i Średnich Spółek</w:t>
      </w:r>
    </w:p>
    <w:p w:rsidR="00011C75" w:rsidRPr="00D23314" w:rsidRDefault="00011C75" w:rsidP="00011C75">
      <w:pPr>
        <w:pStyle w:val="Akapitzlist"/>
        <w:numPr>
          <w:ilvl w:val="0"/>
          <w:numId w:val="1"/>
        </w:numPr>
        <w:rPr>
          <w:b/>
        </w:rPr>
      </w:pPr>
      <w:r w:rsidRPr="00D23314">
        <w:rPr>
          <w:b/>
        </w:rPr>
        <w:t>Santander Akcji Małych i Średnich Spółek</w:t>
      </w:r>
    </w:p>
    <w:p w:rsidR="00011C75" w:rsidRPr="00D23314" w:rsidRDefault="00011C75" w:rsidP="00011C75">
      <w:pPr>
        <w:pStyle w:val="Akapitzlist"/>
        <w:numPr>
          <w:ilvl w:val="0"/>
          <w:numId w:val="1"/>
        </w:numPr>
        <w:rPr>
          <w:b/>
        </w:rPr>
      </w:pPr>
      <w:r w:rsidRPr="00D23314">
        <w:rPr>
          <w:b/>
        </w:rPr>
        <w:t>BNP Paribas Małych i Średnich Spółek</w:t>
      </w:r>
    </w:p>
    <w:p w:rsidR="00011C75" w:rsidRDefault="00011C75" w:rsidP="00011C75">
      <w:r>
        <w:t xml:space="preserve">Są to </w:t>
      </w:r>
      <w:r w:rsidRPr="00D23314">
        <w:rPr>
          <w:b/>
        </w:rPr>
        <w:t>fundusze inwestycyjne otwarte</w:t>
      </w:r>
      <w:r>
        <w:t xml:space="preserve"> </w:t>
      </w:r>
      <w:r>
        <w:sym w:font="Wingdings" w:char="F0E0"/>
      </w:r>
      <w:r>
        <w:t xml:space="preserve"> czyli zbiorowe inwestowania środków pieniężnych. W ramach takiego funduszu (FIO) zbywane są jednostki uczestnictwa</w:t>
      </w:r>
      <w:r w:rsidR="00402EC3">
        <w:t xml:space="preserve">. Na żądanie uczestnika FIO zbywa lub odkupuje jednostki uczestnictwa. Takim uczestnikiem FIO może być osoba fizyczna, osoba prawna lub jednostka organizacyjna (nie posiadająca osobowości prawnej). </w:t>
      </w:r>
    </w:p>
    <w:p w:rsidR="00402EC3" w:rsidRDefault="00402EC3" w:rsidP="00011C75"/>
    <w:p w:rsidR="00402EC3" w:rsidRDefault="00402EC3" w:rsidP="00402EC3">
      <w:r>
        <w:t>Allianz Akcji Małych i Średnich Spółek – aktywa tego funduszu są inwestowane na terytorium Rzeczypospolitej. Min. 70% jego aktywów jest inwestowane w akcje małych i średnich spółek. Do 30% aktywów może być inwestowane dłużne papiery wartościowe oraz instrumenty rynku pieniężnego.</w:t>
      </w:r>
    </w:p>
    <w:p w:rsidR="00402EC3" w:rsidRDefault="00411E3E" w:rsidP="00402EC3">
      <w:r>
        <w:t xml:space="preserve">BNP Paribas Małych i Średnich Spółek </w:t>
      </w:r>
      <w:r w:rsidR="00402EC3">
        <w:t xml:space="preserve">– obszarem geograficznym tego funduszu jest RP. </w:t>
      </w:r>
      <w:r w:rsidR="00864B43">
        <w:t xml:space="preserve">Min. </w:t>
      </w:r>
      <w:r w:rsidR="00402EC3">
        <w:t>66% aktywów funduszu jest inwestowane w instrumenty udziałowe emitowane prze</w:t>
      </w:r>
      <w:r w:rsidR="00864B43">
        <w:t>z małe i średnie polskie spółki.</w:t>
      </w:r>
    </w:p>
    <w:p w:rsidR="00864B43" w:rsidRDefault="00411E3E" w:rsidP="00864B43">
      <w:r>
        <w:t xml:space="preserve">Santander Akcji Małych i Średnich Spółek </w:t>
      </w:r>
      <w:r w:rsidR="00864B43">
        <w:t xml:space="preserve">- co najmniej 66% aktywów lokowane jest w akcje i instrumenty finansowe o podobnym charakterze, w tym przynajmniej 50% w akcje i instrumenty finansowe o podobnym charakterze emitowane przez małe i średnie spółki notowane na GPW (spoza indeksu WIG20). </w:t>
      </w:r>
    </w:p>
    <w:p w:rsidR="00864B43" w:rsidRPr="00411E3E" w:rsidRDefault="00864B43" w:rsidP="00864B43"/>
    <w:p w:rsidR="00864B43" w:rsidRPr="00864B43" w:rsidRDefault="00864B43" w:rsidP="00864B43">
      <w:pPr>
        <w:rPr>
          <w:lang w:val="en-US"/>
        </w:rPr>
      </w:pPr>
      <w:r>
        <w:rPr>
          <w:noProof/>
          <w:lang w:val="en-US" w:eastAsia="pl-PL"/>
        </w:rPr>
        <w:drawing>
          <wp:inline distT="0" distB="0" distL="0" distR="0">
            <wp:extent cx="5760720" cy="2639032"/>
            <wp:effectExtent l="19050" t="0" r="0" b="0"/>
            <wp:docPr id="8" name="Obraz 8" descr="C:\Users\Maria\Downloads\2021-04-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aria\Downloads\2021-04-07.png"/>
                    <pic:cNvPicPr>
                      <a:picLocks noChangeAspect="1" noChangeArrowheads="1"/>
                    </pic:cNvPicPr>
                  </pic:nvPicPr>
                  <pic:blipFill>
                    <a:blip r:embed="rId6" cstate="print"/>
                    <a:srcRect/>
                    <a:stretch>
                      <a:fillRect/>
                    </a:stretch>
                  </pic:blipFill>
                  <pic:spPr bwMode="auto">
                    <a:xfrm>
                      <a:off x="0" y="0"/>
                      <a:ext cx="5760720" cy="2639032"/>
                    </a:xfrm>
                    <a:prstGeom prst="rect">
                      <a:avLst/>
                    </a:prstGeom>
                    <a:noFill/>
                    <a:ln w="9525">
                      <a:noFill/>
                      <a:miter lim="800000"/>
                      <a:headEnd/>
                      <a:tailEnd/>
                    </a:ln>
                  </pic:spPr>
                </pic:pic>
              </a:graphicData>
            </a:graphic>
          </wp:inline>
        </w:drawing>
      </w:r>
    </w:p>
    <w:p w:rsidR="00864B43" w:rsidRDefault="00864B43" w:rsidP="00864B43">
      <w:pPr>
        <w:rPr>
          <w:lang w:val="en-US"/>
        </w:rPr>
      </w:pPr>
    </w:p>
    <w:p w:rsidR="00864B43" w:rsidRDefault="00864B43" w:rsidP="00864B43">
      <w:pPr>
        <w:rPr>
          <w:lang w:val="en-US"/>
        </w:rPr>
      </w:pPr>
    </w:p>
    <w:p w:rsidR="00864B43" w:rsidRPr="00864B43" w:rsidRDefault="00864B43" w:rsidP="00864B43">
      <w:r w:rsidRPr="00864B43">
        <w:lastRenderedPageBreak/>
        <w:t>Ryzyko</w:t>
      </w:r>
    </w:p>
    <w:p w:rsidR="00864B43" w:rsidRPr="00D23314" w:rsidRDefault="00864B43" w:rsidP="00864B43">
      <w:pPr>
        <w:rPr>
          <w:b/>
        </w:rPr>
      </w:pPr>
      <w:r w:rsidRPr="00D23314">
        <w:rPr>
          <w:b/>
        </w:rPr>
        <w:t>IR – Relacja zysku do ryzyka</w:t>
      </w:r>
    </w:p>
    <w:p w:rsidR="00864B43" w:rsidRDefault="00864B43" w:rsidP="00864B43">
      <w:pPr>
        <w:pStyle w:val="Akapitzlist"/>
        <w:numPr>
          <w:ilvl w:val="0"/>
          <w:numId w:val="2"/>
        </w:numPr>
      </w:pPr>
      <w:r>
        <w:t xml:space="preserve">Allianz Akcji Małych i Średnich Spółek </w:t>
      </w:r>
      <w:r>
        <w:sym w:font="Wingdings" w:char="F0E0"/>
      </w:r>
      <w:r>
        <w:t xml:space="preserve"> wartość: 0,68</w:t>
      </w:r>
      <w:r>
        <w:tab/>
      </w:r>
      <w:r>
        <w:tab/>
        <w:t>ocena: 4 (bardzo dobry)</w:t>
      </w:r>
    </w:p>
    <w:p w:rsidR="00864B43" w:rsidRDefault="00864B43" w:rsidP="00411E3E">
      <w:pPr>
        <w:pStyle w:val="Akapitzlist"/>
        <w:numPr>
          <w:ilvl w:val="0"/>
          <w:numId w:val="2"/>
        </w:numPr>
      </w:pPr>
      <w:r>
        <w:t xml:space="preserve">Santander Akcji Małych i Średnich Spółek </w:t>
      </w:r>
      <w:r>
        <w:sym w:font="Wingdings" w:char="F0E0"/>
      </w:r>
      <w:r>
        <w:t xml:space="preserve"> </w:t>
      </w:r>
      <w:r w:rsidR="00411E3E">
        <w:t>wartość: 0,14</w:t>
      </w:r>
      <w:r w:rsidR="00411E3E">
        <w:tab/>
        <w:t>ocena: 3 (dobry)</w:t>
      </w:r>
    </w:p>
    <w:p w:rsidR="00411E3E" w:rsidRDefault="00864B43" w:rsidP="00864B43">
      <w:pPr>
        <w:pStyle w:val="Akapitzlist"/>
        <w:numPr>
          <w:ilvl w:val="0"/>
          <w:numId w:val="2"/>
        </w:numPr>
      </w:pPr>
      <w:r>
        <w:t xml:space="preserve">BNP Paribas Małych i Średnich Spółek </w:t>
      </w:r>
      <w:r>
        <w:sym w:font="Wingdings" w:char="F0E0"/>
      </w:r>
      <w:r>
        <w:t xml:space="preserve"> </w:t>
      </w:r>
      <w:r w:rsidR="00411E3E">
        <w:t>wartość: 1,88</w:t>
      </w:r>
      <w:r w:rsidR="00411E3E">
        <w:tab/>
      </w:r>
      <w:r w:rsidR="00411E3E">
        <w:tab/>
        <w:t xml:space="preserve">ocena: 4 (bardzo dobry) </w:t>
      </w:r>
    </w:p>
    <w:p w:rsidR="00411E3E" w:rsidRDefault="00411E3E" w:rsidP="00411E3E">
      <w:pPr>
        <w:pStyle w:val="Akapitzlist"/>
      </w:pPr>
    </w:p>
    <w:p w:rsidR="00864B43" w:rsidRPr="00D23314" w:rsidRDefault="00AD1ADE" w:rsidP="00D23314">
      <w:pPr>
        <w:rPr>
          <w:b/>
        </w:rPr>
      </w:pPr>
      <w:r w:rsidRPr="00D23314">
        <w:rPr>
          <w:b/>
        </w:rPr>
        <w:t>Odchylenie standardowe – zmienność wyników</w:t>
      </w:r>
    </w:p>
    <w:p w:rsidR="00AD1ADE" w:rsidRDefault="00AD1ADE" w:rsidP="00AD1ADE">
      <w:pPr>
        <w:pStyle w:val="Akapitzlist"/>
        <w:numPr>
          <w:ilvl w:val="0"/>
          <w:numId w:val="3"/>
        </w:numPr>
      </w:pPr>
      <w:r>
        <w:t xml:space="preserve">Allianz Akcji Małych i Średnich Spółek </w:t>
      </w:r>
      <w:r>
        <w:sym w:font="Wingdings" w:char="F0E0"/>
      </w:r>
      <w:r>
        <w:t xml:space="preserve"> wartość: 6,96% </w:t>
      </w:r>
      <w:r>
        <w:tab/>
        <w:t>ocena: 1 (bardzo wysoka zmienność)</w:t>
      </w:r>
    </w:p>
    <w:p w:rsidR="00411E3E" w:rsidRDefault="00AD1ADE" w:rsidP="00411E3E">
      <w:pPr>
        <w:pStyle w:val="Akapitzlist"/>
        <w:numPr>
          <w:ilvl w:val="0"/>
          <w:numId w:val="3"/>
        </w:numPr>
      </w:pPr>
      <w:r>
        <w:t xml:space="preserve">BNP Paribas Małych i Średnich Spółek </w:t>
      </w:r>
      <w:r>
        <w:sym w:font="Wingdings" w:char="F0E0"/>
      </w:r>
      <w:r>
        <w:t xml:space="preserve"> </w:t>
      </w:r>
      <w:r w:rsidR="00411E3E">
        <w:t xml:space="preserve">wartość: 6,98% </w:t>
      </w:r>
      <w:r w:rsidR="00411E3E">
        <w:tab/>
        <w:t>ocena: 1 (bardzo wysoka zmienność)</w:t>
      </w:r>
    </w:p>
    <w:p w:rsidR="00AD1ADE" w:rsidRDefault="00411E3E" w:rsidP="00411E3E">
      <w:pPr>
        <w:pStyle w:val="Akapitzlist"/>
        <w:numPr>
          <w:ilvl w:val="0"/>
          <w:numId w:val="3"/>
        </w:numPr>
      </w:pPr>
      <w:r>
        <w:t xml:space="preserve">Santander Akcji Małych i Średnich Spółek </w:t>
      </w:r>
      <w:r>
        <w:sym w:font="Wingdings" w:char="F0E0"/>
      </w:r>
      <w:r>
        <w:t xml:space="preserve"> wartość: 5,82% </w:t>
      </w:r>
      <w:r>
        <w:tab/>
        <w:t>ocena: 2 (wysoka zmienność)</w:t>
      </w:r>
    </w:p>
    <w:p w:rsidR="00411E3E" w:rsidRDefault="00411E3E" w:rsidP="00411E3E">
      <w:pPr>
        <w:pStyle w:val="Akapitzlist"/>
      </w:pPr>
    </w:p>
    <w:p w:rsidR="00AD1ADE" w:rsidRDefault="00AD1ADE" w:rsidP="00AD1ADE">
      <w:r w:rsidRPr="00D23314">
        <w:rPr>
          <w:b/>
        </w:rPr>
        <w:t>Stopa zwrotu</w:t>
      </w:r>
      <w:r>
        <w:t xml:space="preserve"> – procentowa wartość, o jaką zostanie zostanie powiększony zainwestowany kapitał po zakończeniu inwestycji.</w:t>
      </w:r>
    </w:p>
    <w:p w:rsidR="00AD1ADE" w:rsidRPr="00864B43" w:rsidRDefault="00AD1ADE" w:rsidP="00AD1ADE">
      <w:r>
        <w:rPr>
          <w:noProof/>
          <w:lang w:val="en-US" w:eastAsia="pl-PL"/>
        </w:rPr>
        <w:drawing>
          <wp:inline distT="0" distB="0" distL="0" distR="0">
            <wp:extent cx="5760720" cy="2335231"/>
            <wp:effectExtent l="19050" t="0" r="0" b="0"/>
            <wp:docPr id="9" name="Obraz 9" descr="C:\Users\Maria\Downloads\2021-04-07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Maria\Downloads\2021-04-07 (1).png"/>
                    <pic:cNvPicPr>
                      <a:picLocks noChangeAspect="1" noChangeArrowheads="1"/>
                    </pic:cNvPicPr>
                  </pic:nvPicPr>
                  <pic:blipFill>
                    <a:blip r:embed="rId7" cstate="print"/>
                    <a:srcRect/>
                    <a:stretch>
                      <a:fillRect/>
                    </a:stretch>
                  </pic:blipFill>
                  <pic:spPr bwMode="auto">
                    <a:xfrm>
                      <a:off x="0" y="0"/>
                      <a:ext cx="5760720" cy="2335231"/>
                    </a:xfrm>
                    <a:prstGeom prst="rect">
                      <a:avLst/>
                    </a:prstGeom>
                    <a:noFill/>
                    <a:ln w="9525">
                      <a:noFill/>
                      <a:miter lim="800000"/>
                      <a:headEnd/>
                      <a:tailEnd/>
                    </a:ln>
                  </pic:spPr>
                </pic:pic>
              </a:graphicData>
            </a:graphic>
          </wp:inline>
        </w:drawing>
      </w:r>
    </w:p>
    <w:p w:rsidR="00411E3E" w:rsidRDefault="00864B43" w:rsidP="00411E3E">
      <w:r w:rsidRPr="00864B43">
        <w:t xml:space="preserve"> </w:t>
      </w:r>
      <w:r w:rsidR="00411E3E">
        <w:t xml:space="preserve">W kolejności: Allianz Akcji Małych i Średnich Spółek, BNP Paribas Małych i Średnich Spółek, Santander Akcji Małych i Średnich Spółek </w:t>
      </w:r>
    </w:p>
    <w:p w:rsidR="00411E3E" w:rsidRDefault="00411E3E" w:rsidP="00411E3E"/>
    <w:p w:rsidR="00411E3E" w:rsidRDefault="00411E3E" w:rsidP="00411E3E">
      <w:r>
        <w:t>Metryki funduszy</w:t>
      </w:r>
    </w:p>
    <w:p w:rsidR="00411E3E" w:rsidRDefault="00411E3E" w:rsidP="00411E3E">
      <w:r w:rsidRPr="00D23314">
        <w:rPr>
          <w:b/>
        </w:rPr>
        <w:t>Minimalna pierwsza wpłata</w:t>
      </w:r>
      <w:r>
        <w:t>:</w:t>
      </w:r>
    </w:p>
    <w:p w:rsidR="00411E3E" w:rsidRDefault="00411E3E" w:rsidP="00411E3E">
      <w:pPr>
        <w:pStyle w:val="Akapitzlist"/>
        <w:numPr>
          <w:ilvl w:val="0"/>
          <w:numId w:val="4"/>
        </w:numPr>
      </w:pPr>
      <w:r>
        <w:t>Allianz Akcji Małych i Średnich Spółek – 200 PLN</w:t>
      </w:r>
    </w:p>
    <w:p w:rsidR="00411E3E" w:rsidRDefault="00411E3E" w:rsidP="00411E3E">
      <w:pPr>
        <w:pStyle w:val="Akapitzlist"/>
        <w:numPr>
          <w:ilvl w:val="0"/>
          <w:numId w:val="4"/>
        </w:numPr>
      </w:pPr>
      <w:r>
        <w:t>BNP Paribas Małych i Średnich Spółek – 100 PLN</w:t>
      </w:r>
    </w:p>
    <w:p w:rsidR="00411E3E" w:rsidRDefault="00411E3E" w:rsidP="00411E3E">
      <w:pPr>
        <w:pStyle w:val="Akapitzlist"/>
        <w:numPr>
          <w:ilvl w:val="0"/>
          <w:numId w:val="4"/>
        </w:numPr>
      </w:pPr>
      <w:r>
        <w:t>Santander Akcji Małych i Średnich Spółek – 1000 PLN</w:t>
      </w:r>
    </w:p>
    <w:p w:rsidR="00411E3E" w:rsidRDefault="00411E3E" w:rsidP="00411E3E"/>
    <w:p w:rsidR="00411E3E" w:rsidRPr="00D23314" w:rsidRDefault="00411E3E" w:rsidP="00411E3E">
      <w:pPr>
        <w:rPr>
          <w:b/>
        </w:rPr>
      </w:pPr>
      <w:r w:rsidRPr="00D23314">
        <w:rPr>
          <w:b/>
        </w:rPr>
        <w:lastRenderedPageBreak/>
        <w:t>Wartość aktywów:</w:t>
      </w:r>
    </w:p>
    <w:p w:rsidR="00411E3E" w:rsidRDefault="00411E3E" w:rsidP="00411E3E">
      <w:pPr>
        <w:pStyle w:val="Akapitzlist"/>
        <w:numPr>
          <w:ilvl w:val="0"/>
          <w:numId w:val="5"/>
        </w:numPr>
      </w:pPr>
      <w:r>
        <w:t>Allianz Akcji Małych i Średnich Spółek (na dzień 31.03.2021) – 208,1 mln PLN</w:t>
      </w:r>
    </w:p>
    <w:p w:rsidR="00411E3E" w:rsidRDefault="00411E3E" w:rsidP="00411E3E">
      <w:pPr>
        <w:pStyle w:val="Akapitzlist"/>
        <w:numPr>
          <w:ilvl w:val="0"/>
          <w:numId w:val="5"/>
        </w:numPr>
      </w:pPr>
      <w:r>
        <w:t xml:space="preserve">BNP Paribas Małych i Średnich Spółek (na dzień 28.02.2021) </w:t>
      </w:r>
      <w:r w:rsidR="003D39E1">
        <w:t>–</w:t>
      </w:r>
      <w:r>
        <w:t xml:space="preserve"> </w:t>
      </w:r>
      <w:r w:rsidR="003D39E1">
        <w:t>22,8 mln PLN</w:t>
      </w:r>
    </w:p>
    <w:p w:rsidR="003D39E1" w:rsidRDefault="003D39E1" w:rsidP="00411E3E">
      <w:pPr>
        <w:pStyle w:val="Akapitzlist"/>
        <w:numPr>
          <w:ilvl w:val="0"/>
          <w:numId w:val="5"/>
        </w:numPr>
      </w:pPr>
      <w:r>
        <w:t>Santander Akcji Małych i Średnich Spółek (na dzień 28.02.2021) – 85,7 mln PLN</w:t>
      </w:r>
    </w:p>
    <w:p w:rsidR="003D39E1" w:rsidRDefault="003D39E1" w:rsidP="003D39E1">
      <w:pPr>
        <w:ind w:left="360"/>
      </w:pPr>
    </w:p>
    <w:p w:rsidR="003D39E1" w:rsidRDefault="003D39E1" w:rsidP="003D39E1">
      <w:pPr>
        <w:ind w:left="360"/>
      </w:pPr>
      <w:r>
        <w:t xml:space="preserve">Zweryfikowałyśmy bezpieczeństwo tych funduszy na stronie </w:t>
      </w:r>
      <w:r w:rsidRPr="00D23314">
        <w:rPr>
          <w:b/>
        </w:rPr>
        <w:t>KNF</w:t>
      </w:r>
      <w:r>
        <w:t xml:space="preserve"> – wszystkie są godne zaufania</w:t>
      </w:r>
      <w:r w:rsidR="000F0F0B">
        <w:t>.</w:t>
      </w:r>
    </w:p>
    <w:p w:rsidR="00411E3E" w:rsidRDefault="00411E3E" w:rsidP="00411E3E"/>
    <w:p w:rsidR="000F0F0B" w:rsidRPr="000F0F0B" w:rsidRDefault="000F0F0B" w:rsidP="00411E3E">
      <w:r>
        <w:t xml:space="preserve">My osobiście zainwestowałybyśmy w fundusz inwestycyjny </w:t>
      </w:r>
      <w:r w:rsidRPr="000F0F0B">
        <w:rPr>
          <w:b/>
        </w:rPr>
        <w:t>BNP Paribas Małych i Średnich Spółek</w:t>
      </w:r>
      <w:r>
        <w:rPr>
          <w:b/>
        </w:rPr>
        <w:t xml:space="preserve">. </w:t>
      </w:r>
      <w:r>
        <w:t>Na przełomie roku 2020 i 2021 ten fundusz uzyskał najwyższe procentowe wyniki funduszy (patrz wykres) spoś</w:t>
      </w:r>
      <w:r w:rsidR="00D23314">
        <w:t>ród wybranych przez nas inwestycji</w:t>
      </w:r>
      <w:r>
        <w:t>. Fundusz BNP Paribas osiągnął najwyższą wartość</w:t>
      </w:r>
      <w:r w:rsidR="00435223">
        <w:t xml:space="preserve"> wskaźnika relacji zysku do ryzyka (a nasze transakcje powinni mieć jak najwyższą wartość tego wskaźnika, ale realną do osiągnięcia), więc ta inwestycja jest najbardziej opłacalna.  Stopa zwrotu po miesiącu jest dosyć przeciętna, natomiast analizując stopy zwrotu po min. 3 miesiącach znacznie przewyższają inne wybrane fundusze inwestycyjne (na czym jak najbardziej nam zależy). Możemy zacząć naszą przygodę z inwestowaniem od niedużej kwoty 100 zł, co minimalizuje ryzyko późniejszych strat niedoświadczonego inwestora. Ponadto nie potrzebne jest dysponowanie na początku dużymi kwotami pieniężnymi, aby je zainwestować (w porównaniu do Santander Akcji Małych i Średnich Spółek, gdzie minimalna pierwsza wpłata jest wymagana</w:t>
      </w:r>
      <w:r w:rsidR="00D23314">
        <w:t xml:space="preserve"> w wysokości 1000 zł). </w:t>
      </w:r>
    </w:p>
    <w:p w:rsidR="00411E3E" w:rsidRDefault="00411E3E" w:rsidP="00411E3E"/>
    <w:p w:rsidR="00411E3E" w:rsidRDefault="00411E3E" w:rsidP="00411E3E">
      <w:r>
        <w:t xml:space="preserve"> </w:t>
      </w:r>
    </w:p>
    <w:p w:rsidR="00402EC3" w:rsidRPr="00864B43" w:rsidRDefault="00402EC3" w:rsidP="00402EC3"/>
    <w:p w:rsidR="00402EC3" w:rsidRPr="00864B43" w:rsidRDefault="00402EC3" w:rsidP="00011C75"/>
    <w:sectPr w:rsidR="00402EC3" w:rsidRPr="00864B43" w:rsidSect="003D2C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6356A2"/>
    <w:multiLevelType w:val="hybridMultilevel"/>
    <w:tmpl w:val="A014A2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67FD1C05"/>
    <w:multiLevelType w:val="hybridMultilevel"/>
    <w:tmpl w:val="367E11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692571D6"/>
    <w:multiLevelType w:val="hybridMultilevel"/>
    <w:tmpl w:val="E752E3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6C6A7812"/>
    <w:multiLevelType w:val="hybridMultilevel"/>
    <w:tmpl w:val="20FEFF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75E47425"/>
    <w:multiLevelType w:val="hybridMultilevel"/>
    <w:tmpl w:val="EAD234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2"/>
  </w:compat>
  <w:rsids>
    <w:rsidRoot w:val="00011C75"/>
    <w:rsid w:val="00011C75"/>
    <w:rsid w:val="000F0F0B"/>
    <w:rsid w:val="003D2C9A"/>
    <w:rsid w:val="003D39E1"/>
    <w:rsid w:val="00402EC3"/>
    <w:rsid w:val="00411E3E"/>
    <w:rsid w:val="00435223"/>
    <w:rsid w:val="004D3DB5"/>
    <w:rsid w:val="00864B43"/>
    <w:rsid w:val="00961B15"/>
    <w:rsid w:val="00AD1ADE"/>
    <w:rsid w:val="00D23314"/>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D2C9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11C75"/>
    <w:pPr>
      <w:ind w:left="720"/>
      <w:contextualSpacing/>
    </w:pPr>
  </w:style>
  <w:style w:type="paragraph" w:styleId="Tekstdymka">
    <w:name w:val="Balloon Text"/>
    <w:basedOn w:val="Normalny"/>
    <w:link w:val="TekstdymkaZnak"/>
    <w:uiPriority w:val="99"/>
    <w:semiHidden/>
    <w:unhideWhenUsed/>
    <w:rsid w:val="00864B4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64B43"/>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pl-P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6772289">
      <w:bodyDiv w:val="1"/>
      <w:marLeft w:val="0"/>
      <w:marRight w:val="0"/>
      <w:marTop w:val="0"/>
      <w:marBottom w:val="0"/>
      <w:divBdr>
        <w:top w:val="none" w:sz="0" w:space="0" w:color="auto"/>
        <w:left w:val="none" w:sz="0" w:space="0" w:color="auto"/>
        <w:bottom w:val="none" w:sz="0" w:space="0" w:color="auto"/>
        <w:right w:val="none" w:sz="0" w:space="0" w:color="auto"/>
      </w:divBdr>
      <w:divsChild>
        <w:div w:id="384183676">
          <w:marLeft w:val="0"/>
          <w:marRight w:val="0"/>
          <w:marTop w:val="0"/>
          <w:marBottom w:val="0"/>
          <w:divBdr>
            <w:top w:val="none" w:sz="0" w:space="0" w:color="auto"/>
            <w:left w:val="none" w:sz="0" w:space="0" w:color="auto"/>
            <w:bottom w:val="none" w:sz="0" w:space="0" w:color="auto"/>
            <w:right w:val="none" w:sz="0" w:space="0" w:color="auto"/>
          </w:divBdr>
          <w:divsChild>
            <w:div w:id="2040277879">
              <w:marLeft w:val="0"/>
              <w:marRight w:val="0"/>
              <w:marTop w:val="0"/>
              <w:marBottom w:val="0"/>
              <w:divBdr>
                <w:top w:val="none" w:sz="0" w:space="0" w:color="auto"/>
                <w:left w:val="none" w:sz="0" w:space="0" w:color="auto"/>
                <w:bottom w:val="none" w:sz="0" w:space="0" w:color="auto"/>
                <w:right w:val="none" w:sz="0" w:space="0" w:color="auto"/>
              </w:divBdr>
              <w:divsChild>
                <w:div w:id="93390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961163">
          <w:marLeft w:val="0"/>
          <w:marRight w:val="0"/>
          <w:marTop w:val="0"/>
          <w:marBottom w:val="0"/>
          <w:divBdr>
            <w:top w:val="none" w:sz="0" w:space="0" w:color="auto"/>
            <w:left w:val="none" w:sz="0" w:space="0" w:color="auto"/>
            <w:bottom w:val="none" w:sz="0" w:space="0" w:color="auto"/>
            <w:right w:val="none" w:sz="0" w:space="0" w:color="auto"/>
          </w:divBdr>
          <w:divsChild>
            <w:div w:id="116071551">
              <w:marLeft w:val="0"/>
              <w:marRight w:val="0"/>
              <w:marTop w:val="0"/>
              <w:marBottom w:val="0"/>
              <w:divBdr>
                <w:top w:val="none" w:sz="0" w:space="0" w:color="auto"/>
                <w:left w:val="none" w:sz="0" w:space="0" w:color="auto"/>
                <w:bottom w:val="none" w:sz="0" w:space="0" w:color="auto"/>
                <w:right w:val="none" w:sz="0" w:space="0" w:color="auto"/>
              </w:divBdr>
              <w:divsChild>
                <w:div w:id="231619635">
                  <w:marLeft w:val="0"/>
                  <w:marRight w:val="0"/>
                  <w:marTop w:val="0"/>
                  <w:marBottom w:val="0"/>
                  <w:divBdr>
                    <w:top w:val="none" w:sz="0" w:space="0" w:color="auto"/>
                    <w:left w:val="none" w:sz="0" w:space="0" w:color="auto"/>
                    <w:bottom w:val="none" w:sz="0" w:space="0" w:color="auto"/>
                    <w:right w:val="none" w:sz="0" w:space="0" w:color="auto"/>
                  </w:divBdr>
                </w:div>
                <w:div w:id="2096855258">
                  <w:marLeft w:val="0"/>
                  <w:marRight w:val="0"/>
                  <w:marTop w:val="0"/>
                  <w:marBottom w:val="0"/>
                  <w:divBdr>
                    <w:top w:val="none" w:sz="0" w:space="0" w:color="auto"/>
                    <w:left w:val="none" w:sz="0" w:space="0" w:color="auto"/>
                    <w:bottom w:val="none" w:sz="0" w:space="0" w:color="auto"/>
                    <w:right w:val="none" w:sz="0" w:space="0" w:color="auto"/>
                  </w:divBdr>
                </w:div>
                <w:div w:id="1767772890">
                  <w:marLeft w:val="0"/>
                  <w:marRight w:val="0"/>
                  <w:marTop w:val="0"/>
                  <w:marBottom w:val="0"/>
                  <w:divBdr>
                    <w:top w:val="none" w:sz="0" w:space="0" w:color="auto"/>
                    <w:left w:val="none" w:sz="0" w:space="0" w:color="auto"/>
                    <w:bottom w:val="none" w:sz="0" w:space="0" w:color="auto"/>
                    <w:right w:val="none" w:sz="0" w:space="0" w:color="auto"/>
                  </w:divBdr>
                </w:div>
                <w:div w:id="1008870738">
                  <w:marLeft w:val="0"/>
                  <w:marRight w:val="0"/>
                  <w:marTop w:val="0"/>
                  <w:marBottom w:val="0"/>
                  <w:divBdr>
                    <w:top w:val="none" w:sz="0" w:space="0" w:color="auto"/>
                    <w:left w:val="none" w:sz="0" w:space="0" w:color="auto"/>
                    <w:bottom w:val="none" w:sz="0" w:space="0" w:color="auto"/>
                    <w:right w:val="none" w:sz="0" w:space="0" w:color="auto"/>
                  </w:divBdr>
                </w:div>
                <w:div w:id="1235353809">
                  <w:marLeft w:val="0"/>
                  <w:marRight w:val="0"/>
                  <w:marTop w:val="0"/>
                  <w:marBottom w:val="0"/>
                  <w:divBdr>
                    <w:top w:val="none" w:sz="0" w:space="0" w:color="auto"/>
                    <w:left w:val="none" w:sz="0" w:space="0" w:color="auto"/>
                    <w:bottom w:val="none" w:sz="0" w:space="0" w:color="auto"/>
                    <w:right w:val="none" w:sz="0" w:space="0" w:color="auto"/>
                  </w:divBdr>
                </w:div>
                <w:div w:id="1543403678">
                  <w:marLeft w:val="0"/>
                  <w:marRight w:val="0"/>
                  <w:marTop w:val="0"/>
                  <w:marBottom w:val="0"/>
                  <w:divBdr>
                    <w:top w:val="none" w:sz="0" w:space="0" w:color="auto"/>
                    <w:left w:val="none" w:sz="0" w:space="0" w:color="auto"/>
                    <w:bottom w:val="none" w:sz="0" w:space="0" w:color="auto"/>
                    <w:right w:val="none" w:sz="0" w:space="0" w:color="auto"/>
                  </w:divBdr>
                </w:div>
                <w:div w:id="1980304241">
                  <w:marLeft w:val="0"/>
                  <w:marRight w:val="0"/>
                  <w:marTop w:val="0"/>
                  <w:marBottom w:val="0"/>
                  <w:divBdr>
                    <w:top w:val="none" w:sz="0" w:space="0" w:color="auto"/>
                    <w:left w:val="none" w:sz="0" w:space="0" w:color="auto"/>
                    <w:bottom w:val="none" w:sz="0" w:space="0" w:color="auto"/>
                    <w:right w:val="none" w:sz="0" w:space="0" w:color="auto"/>
                  </w:divBdr>
                </w:div>
              </w:divsChild>
            </w:div>
            <w:div w:id="1869026125">
              <w:marLeft w:val="0"/>
              <w:marRight w:val="0"/>
              <w:marTop w:val="0"/>
              <w:marBottom w:val="0"/>
              <w:divBdr>
                <w:top w:val="none" w:sz="0" w:space="0" w:color="auto"/>
                <w:left w:val="none" w:sz="0" w:space="0" w:color="auto"/>
                <w:bottom w:val="none" w:sz="0" w:space="0" w:color="auto"/>
                <w:right w:val="none" w:sz="0" w:space="0" w:color="auto"/>
              </w:divBdr>
              <w:divsChild>
                <w:div w:id="1284194412">
                  <w:marLeft w:val="0"/>
                  <w:marRight w:val="0"/>
                  <w:marTop w:val="0"/>
                  <w:marBottom w:val="0"/>
                  <w:divBdr>
                    <w:top w:val="none" w:sz="0" w:space="0" w:color="auto"/>
                    <w:left w:val="none" w:sz="0" w:space="0" w:color="auto"/>
                    <w:bottom w:val="none" w:sz="0" w:space="0" w:color="auto"/>
                    <w:right w:val="none" w:sz="0" w:space="0" w:color="auto"/>
                  </w:divBdr>
                </w:div>
                <w:div w:id="322390564">
                  <w:marLeft w:val="0"/>
                  <w:marRight w:val="0"/>
                  <w:marTop w:val="0"/>
                  <w:marBottom w:val="0"/>
                  <w:divBdr>
                    <w:top w:val="none" w:sz="0" w:space="0" w:color="auto"/>
                    <w:left w:val="none" w:sz="0" w:space="0" w:color="auto"/>
                    <w:bottom w:val="none" w:sz="0" w:space="0" w:color="auto"/>
                    <w:right w:val="none" w:sz="0" w:space="0" w:color="auto"/>
                  </w:divBdr>
                </w:div>
                <w:div w:id="1506476457">
                  <w:marLeft w:val="0"/>
                  <w:marRight w:val="0"/>
                  <w:marTop w:val="0"/>
                  <w:marBottom w:val="0"/>
                  <w:divBdr>
                    <w:top w:val="none" w:sz="0" w:space="0" w:color="auto"/>
                    <w:left w:val="none" w:sz="0" w:space="0" w:color="auto"/>
                    <w:bottom w:val="none" w:sz="0" w:space="0" w:color="auto"/>
                    <w:right w:val="none" w:sz="0" w:space="0" w:color="auto"/>
                  </w:divBdr>
                </w:div>
                <w:div w:id="740250202">
                  <w:marLeft w:val="0"/>
                  <w:marRight w:val="0"/>
                  <w:marTop w:val="0"/>
                  <w:marBottom w:val="0"/>
                  <w:divBdr>
                    <w:top w:val="none" w:sz="0" w:space="0" w:color="auto"/>
                    <w:left w:val="none" w:sz="0" w:space="0" w:color="auto"/>
                    <w:bottom w:val="none" w:sz="0" w:space="0" w:color="auto"/>
                    <w:right w:val="none" w:sz="0" w:space="0" w:color="auto"/>
                  </w:divBdr>
                </w:div>
                <w:div w:id="1722056611">
                  <w:marLeft w:val="0"/>
                  <w:marRight w:val="0"/>
                  <w:marTop w:val="0"/>
                  <w:marBottom w:val="0"/>
                  <w:divBdr>
                    <w:top w:val="none" w:sz="0" w:space="0" w:color="auto"/>
                    <w:left w:val="none" w:sz="0" w:space="0" w:color="auto"/>
                    <w:bottom w:val="none" w:sz="0" w:space="0" w:color="auto"/>
                    <w:right w:val="none" w:sz="0" w:space="0" w:color="auto"/>
                  </w:divBdr>
                </w:div>
                <w:div w:id="1201167570">
                  <w:marLeft w:val="0"/>
                  <w:marRight w:val="0"/>
                  <w:marTop w:val="0"/>
                  <w:marBottom w:val="0"/>
                  <w:divBdr>
                    <w:top w:val="none" w:sz="0" w:space="0" w:color="auto"/>
                    <w:left w:val="none" w:sz="0" w:space="0" w:color="auto"/>
                    <w:bottom w:val="none" w:sz="0" w:space="0" w:color="auto"/>
                    <w:right w:val="none" w:sz="0" w:space="0" w:color="auto"/>
                  </w:divBdr>
                </w:div>
                <w:div w:id="185681074">
                  <w:marLeft w:val="0"/>
                  <w:marRight w:val="0"/>
                  <w:marTop w:val="0"/>
                  <w:marBottom w:val="0"/>
                  <w:divBdr>
                    <w:top w:val="none" w:sz="0" w:space="0" w:color="auto"/>
                    <w:left w:val="none" w:sz="0" w:space="0" w:color="auto"/>
                    <w:bottom w:val="none" w:sz="0" w:space="0" w:color="auto"/>
                    <w:right w:val="none" w:sz="0" w:space="0" w:color="auto"/>
                  </w:divBdr>
                </w:div>
              </w:divsChild>
            </w:div>
            <w:div w:id="1860656806">
              <w:marLeft w:val="0"/>
              <w:marRight w:val="0"/>
              <w:marTop w:val="0"/>
              <w:marBottom w:val="0"/>
              <w:divBdr>
                <w:top w:val="none" w:sz="0" w:space="0" w:color="auto"/>
                <w:left w:val="none" w:sz="0" w:space="0" w:color="auto"/>
                <w:bottom w:val="none" w:sz="0" w:space="0" w:color="auto"/>
                <w:right w:val="none" w:sz="0" w:space="0" w:color="auto"/>
              </w:divBdr>
              <w:divsChild>
                <w:div w:id="1804225040">
                  <w:marLeft w:val="0"/>
                  <w:marRight w:val="0"/>
                  <w:marTop w:val="0"/>
                  <w:marBottom w:val="0"/>
                  <w:divBdr>
                    <w:top w:val="none" w:sz="0" w:space="0" w:color="auto"/>
                    <w:left w:val="none" w:sz="0" w:space="0" w:color="auto"/>
                    <w:bottom w:val="none" w:sz="0" w:space="0" w:color="auto"/>
                    <w:right w:val="none" w:sz="0" w:space="0" w:color="auto"/>
                  </w:divBdr>
                </w:div>
                <w:div w:id="1475640629">
                  <w:marLeft w:val="0"/>
                  <w:marRight w:val="0"/>
                  <w:marTop w:val="0"/>
                  <w:marBottom w:val="0"/>
                  <w:divBdr>
                    <w:top w:val="none" w:sz="0" w:space="0" w:color="auto"/>
                    <w:left w:val="none" w:sz="0" w:space="0" w:color="auto"/>
                    <w:bottom w:val="none" w:sz="0" w:space="0" w:color="auto"/>
                    <w:right w:val="none" w:sz="0" w:space="0" w:color="auto"/>
                  </w:divBdr>
                </w:div>
                <w:div w:id="377244425">
                  <w:marLeft w:val="0"/>
                  <w:marRight w:val="0"/>
                  <w:marTop w:val="0"/>
                  <w:marBottom w:val="0"/>
                  <w:divBdr>
                    <w:top w:val="none" w:sz="0" w:space="0" w:color="auto"/>
                    <w:left w:val="none" w:sz="0" w:space="0" w:color="auto"/>
                    <w:bottom w:val="none" w:sz="0" w:space="0" w:color="auto"/>
                    <w:right w:val="none" w:sz="0" w:space="0" w:color="auto"/>
                  </w:divBdr>
                </w:div>
                <w:div w:id="1155102321">
                  <w:marLeft w:val="0"/>
                  <w:marRight w:val="0"/>
                  <w:marTop w:val="0"/>
                  <w:marBottom w:val="0"/>
                  <w:divBdr>
                    <w:top w:val="none" w:sz="0" w:space="0" w:color="auto"/>
                    <w:left w:val="none" w:sz="0" w:space="0" w:color="auto"/>
                    <w:bottom w:val="none" w:sz="0" w:space="0" w:color="auto"/>
                    <w:right w:val="none" w:sz="0" w:space="0" w:color="auto"/>
                  </w:divBdr>
                </w:div>
                <w:div w:id="1998798148">
                  <w:marLeft w:val="0"/>
                  <w:marRight w:val="0"/>
                  <w:marTop w:val="0"/>
                  <w:marBottom w:val="0"/>
                  <w:divBdr>
                    <w:top w:val="none" w:sz="0" w:space="0" w:color="auto"/>
                    <w:left w:val="none" w:sz="0" w:space="0" w:color="auto"/>
                    <w:bottom w:val="none" w:sz="0" w:space="0" w:color="auto"/>
                    <w:right w:val="none" w:sz="0" w:space="0" w:color="auto"/>
                  </w:divBdr>
                </w:div>
                <w:div w:id="1997538395">
                  <w:marLeft w:val="0"/>
                  <w:marRight w:val="0"/>
                  <w:marTop w:val="0"/>
                  <w:marBottom w:val="0"/>
                  <w:divBdr>
                    <w:top w:val="none" w:sz="0" w:space="0" w:color="auto"/>
                    <w:left w:val="none" w:sz="0" w:space="0" w:color="auto"/>
                    <w:bottom w:val="none" w:sz="0" w:space="0" w:color="auto"/>
                    <w:right w:val="none" w:sz="0" w:space="0" w:color="auto"/>
                  </w:divBdr>
                </w:div>
                <w:div w:id="38260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539</Words>
  <Characters>3236</Characters>
  <Application>Microsoft Macintosh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Beata</cp:lastModifiedBy>
  <cp:revision>2</cp:revision>
  <dcterms:created xsi:type="dcterms:W3CDTF">2021-04-29T13:26:00Z</dcterms:created>
  <dcterms:modified xsi:type="dcterms:W3CDTF">2021-04-29T13:26:00Z</dcterms:modified>
</cp:coreProperties>
</file>